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629"/>
        <w:gridCol w:w="2751"/>
        <w:gridCol w:w="6321"/>
      </w:tblGrid>
      <w:tr w:rsidR="00A96078" w14:paraId="38F15FEF" w14:textId="77777777" w:rsidTr="004B6198">
        <w:trPr>
          <w:trHeight w:val="383"/>
        </w:trPr>
        <w:tc>
          <w:tcPr>
            <w:tcW w:w="1440" w:type="dxa"/>
          </w:tcPr>
          <w:p w14:paraId="62862448" w14:textId="77777777" w:rsidR="00A96078" w:rsidRDefault="00A96078" w:rsidP="004B6198">
            <w:pPr>
              <w:jc w:val="both"/>
              <w:rPr>
                <w:b/>
              </w:rPr>
            </w:pPr>
            <w:r>
              <w:rPr>
                <w:b/>
              </w:rPr>
              <w:t>Studie /design</w:t>
            </w:r>
          </w:p>
        </w:tc>
        <w:tc>
          <w:tcPr>
            <w:tcW w:w="4629" w:type="dxa"/>
          </w:tcPr>
          <w:p w14:paraId="4F2AD72A" w14:textId="77777777" w:rsidR="00A96078" w:rsidRDefault="00A96078" w:rsidP="004B6198">
            <w:pPr>
              <w:jc w:val="both"/>
              <w:rPr>
                <w:b/>
              </w:rPr>
            </w:pPr>
            <w:r>
              <w:rPr>
                <w:b/>
              </w:rPr>
              <w:t xml:space="preserve">Deltagere </w:t>
            </w:r>
          </w:p>
        </w:tc>
        <w:tc>
          <w:tcPr>
            <w:tcW w:w="2751" w:type="dxa"/>
          </w:tcPr>
          <w:p w14:paraId="398D4D82" w14:textId="77777777" w:rsidR="00A96078" w:rsidRDefault="00A96078" w:rsidP="004B6198">
            <w:pPr>
              <w:jc w:val="both"/>
              <w:rPr>
                <w:b/>
              </w:rPr>
            </w:pPr>
            <w:r>
              <w:rPr>
                <w:b/>
              </w:rPr>
              <w:t>Intervensjon</w:t>
            </w:r>
          </w:p>
        </w:tc>
        <w:tc>
          <w:tcPr>
            <w:tcW w:w="6321" w:type="dxa"/>
          </w:tcPr>
          <w:p w14:paraId="7CE3599A" w14:textId="77777777" w:rsidR="00A96078" w:rsidRDefault="00A96078" w:rsidP="004B6198">
            <w:pPr>
              <w:jc w:val="both"/>
              <w:rPr>
                <w:b/>
              </w:rPr>
            </w:pPr>
            <w:r>
              <w:rPr>
                <w:b/>
              </w:rPr>
              <w:t>Funn</w:t>
            </w:r>
          </w:p>
        </w:tc>
      </w:tr>
      <w:tr w:rsidR="00A96078" w:rsidRPr="00185852" w14:paraId="1C6F79D3" w14:textId="77777777" w:rsidTr="004B6198">
        <w:trPr>
          <w:trHeight w:val="1066"/>
        </w:trPr>
        <w:tc>
          <w:tcPr>
            <w:tcW w:w="1440" w:type="dxa"/>
          </w:tcPr>
          <w:p w14:paraId="1EFA1863" w14:textId="77777777" w:rsidR="00A96078" w:rsidRPr="00BE1A94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BE1A94">
              <w:rPr>
                <w:sz w:val="18"/>
                <w:szCs w:val="18"/>
                <w:lang w:val="en-GB"/>
              </w:rPr>
              <w:t>Randomized, double blind, placebo/active-control, parallel-group study.</w:t>
            </w:r>
          </w:p>
        </w:tc>
        <w:tc>
          <w:tcPr>
            <w:tcW w:w="4629" w:type="dxa"/>
          </w:tcPr>
          <w:p w14:paraId="7B864928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Adult patients with chronic OA pain. Must have taken NSAID or opioid for at least 75 to 90 days before screening and had a suboptimal response to these agents. Sample estimation: 240</w:t>
            </w:r>
          </w:p>
          <w:p w14:paraId="69B17066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491 patients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randomized</w:t>
            </w:r>
            <w:proofErr w:type="gramEnd"/>
          </w:p>
          <w:p w14:paraId="5731F669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467 ITT analysis</w:t>
            </w:r>
          </w:p>
          <w:p w14:paraId="32C6EF90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269 completed the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study</w:t>
            </w:r>
            <w:proofErr w:type="gramEnd"/>
          </w:p>
          <w:p w14:paraId="14E143DA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46/222 discontinued were placebo</w:t>
            </w:r>
          </w:p>
        </w:tc>
        <w:tc>
          <w:tcPr>
            <w:tcW w:w="2751" w:type="dxa"/>
          </w:tcPr>
          <w:p w14:paraId="20F4C230" w14:textId="77777777" w:rsidR="00A96078" w:rsidRPr="00BE1A94" w:rsidRDefault="00A96078" w:rsidP="004B6198">
            <w:pPr>
              <w:jc w:val="both"/>
              <w:rPr>
                <w:sz w:val="18"/>
                <w:szCs w:val="18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1 week wash-out period, then 4 weeks treatment of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40 mg (group 1), or 80 mg (group2); 40 mg for 2 weeks then 80 mg next 2 weeks, or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oxoid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40 mg (group 3), or placebo (group 4). </w:t>
            </w:r>
            <w:proofErr w:type="spellStart"/>
            <w:r w:rsidRPr="00BE1A94">
              <w:rPr>
                <w:sz w:val="18"/>
                <w:szCs w:val="18"/>
              </w:rPr>
              <w:t>Rescue</w:t>
            </w:r>
            <w:proofErr w:type="spellEnd"/>
            <w:r w:rsidRPr="00BE1A94">
              <w:rPr>
                <w:sz w:val="18"/>
                <w:szCs w:val="18"/>
              </w:rPr>
              <w:t xml:space="preserve"> </w:t>
            </w:r>
            <w:proofErr w:type="spellStart"/>
            <w:r w:rsidRPr="00BE1A94">
              <w:rPr>
                <w:sz w:val="18"/>
                <w:szCs w:val="18"/>
              </w:rPr>
              <w:t>medication</w:t>
            </w:r>
            <w:proofErr w:type="spellEnd"/>
            <w:r w:rsidRPr="00BE1A94">
              <w:rPr>
                <w:sz w:val="18"/>
                <w:szCs w:val="18"/>
              </w:rPr>
              <w:t xml:space="preserve"> not </w:t>
            </w:r>
            <w:proofErr w:type="spellStart"/>
            <w:r w:rsidRPr="00BE1A94">
              <w:rPr>
                <w:sz w:val="18"/>
                <w:szCs w:val="18"/>
              </w:rPr>
              <w:t>permitted</w:t>
            </w:r>
            <w:proofErr w:type="spellEnd"/>
            <w:r w:rsidRPr="00BE1A94">
              <w:rPr>
                <w:sz w:val="18"/>
                <w:szCs w:val="18"/>
              </w:rPr>
              <w:t>.</w:t>
            </w:r>
          </w:p>
          <w:p w14:paraId="68CA638E" w14:textId="77777777" w:rsidR="00A96078" w:rsidRPr="00BE1A94" w:rsidRDefault="00A96078" w:rsidP="004B61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1" w:type="dxa"/>
          </w:tcPr>
          <w:p w14:paraId="375A40AA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Pain intensity scores and the difference in VAS scores from baseline to the final visit were improved by 62.8% and 70.9% for 40 and 50 mg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, respectively. Most AEs were mild to moderate and related to the opioids, but more AEs occurred in the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groups. Almost 50% of patients receiving active treatment withdrew early, mostly due to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non serious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AE. Opioid naïve patients accounted for most withdrawals in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groups. Almost 40% of placebos withdrew mainly due to lack of effect.</w:t>
            </w:r>
          </w:p>
        </w:tc>
      </w:tr>
      <w:tr w:rsidR="00A96078" w:rsidRPr="00185852" w14:paraId="5CD14D08" w14:textId="77777777" w:rsidTr="004B6198">
        <w:trPr>
          <w:trHeight w:val="1057"/>
        </w:trPr>
        <w:tc>
          <w:tcPr>
            <w:tcW w:w="1440" w:type="dxa"/>
          </w:tcPr>
          <w:p w14:paraId="7BA152BD" w14:textId="77777777" w:rsidR="00A96078" w:rsidRPr="00BE1A94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BE1A94">
              <w:rPr>
                <w:sz w:val="18"/>
                <w:szCs w:val="18"/>
                <w:lang w:val="en-GB"/>
              </w:rPr>
              <w:t>Randomized, double blind, placebo-controlled, parallel-group phase III study.</w:t>
            </w:r>
          </w:p>
        </w:tc>
        <w:tc>
          <w:tcPr>
            <w:tcW w:w="4629" w:type="dxa"/>
          </w:tcPr>
          <w:p w14:paraId="76F01A9D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Adult patients with chronic OA of the hip or knee. Must have regularly taken NSAIDs with suboptimal response or opioid for 90 days before screening. </w:t>
            </w:r>
          </w:p>
          <w:p w14:paraId="7439DFE9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 Sample estimation :240</w:t>
            </w:r>
          </w:p>
          <w:p w14:paraId="6B4FD69E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370 patients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randomized</w:t>
            </w:r>
            <w:proofErr w:type="gramEnd"/>
          </w:p>
          <w:p w14:paraId="70E957AB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357 ITT analysis</w:t>
            </w:r>
          </w:p>
          <w:p w14:paraId="42D52718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198 completed the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study</w:t>
            </w:r>
            <w:proofErr w:type="gramEnd"/>
          </w:p>
          <w:p w14:paraId="064993D2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26/172 discontinued were placebos</w:t>
            </w:r>
          </w:p>
        </w:tc>
        <w:tc>
          <w:tcPr>
            <w:tcW w:w="2751" w:type="dxa"/>
          </w:tcPr>
          <w:p w14:paraId="4FB8996F" w14:textId="77777777" w:rsidR="00A96078" w:rsidRPr="00BE1A94" w:rsidRDefault="00A96078" w:rsidP="004B6198">
            <w:pPr>
              <w:jc w:val="both"/>
              <w:rPr>
                <w:sz w:val="18"/>
                <w:szCs w:val="18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2-7 day wash out period, then 2 weeks treatment with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20 mg (group 1),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80 mg (group 2); 40 mg in week 1 followed by 80 mg in week 2,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100 mg (group 3); 40 mg week 1, followed by 100 mg in week 2, or placebo (group 4). </w:t>
            </w:r>
            <w:proofErr w:type="spellStart"/>
            <w:r w:rsidRPr="00BE1A94">
              <w:rPr>
                <w:sz w:val="18"/>
                <w:szCs w:val="18"/>
              </w:rPr>
              <w:t>Rescue</w:t>
            </w:r>
            <w:proofErr w:type="spellEnd"/>
            <w:r w:rsidRPr="00BE1A94">
              <w:rPr>
                <w:sz w:val="18"/>
                <w:szCs w:val="18"/>
              </w:rPr>
              <w:t xml:space="preserve"> </w:t>
            </w:r>
            <w:proofErr w:type="spellStart"/>
            <w:r w:rsidRPr="00BE1A94">
              <w:rPr>
                <w:sz w:val="18"/>
                <w:szCs w:val="18"/>
              </w:rPr>
              <w:t>medication</w:t>
            </w:r>
            <w:proofErr w:type="spellEnd"/>
            <w:r w:rsidRPr="00BE1A94">
              <w:rPr>
                <w:sz w:val="18"/>
                <w:szCs w:val="18"/>
              </w:rPr>
              <w:t xml:space="preserve"> not </w:t>
            </w:r>
            <w:proofErr w:type="spellStart"/>
            <w:r w:rsidRPr="00BE1A94">
              <w:rPr>
                <w:sz w:val="18"/>
                <w:szCs w:val="18"/>
              </w:rPr>
              <w:t>permitted</w:t>
            </w:r>
            <w:proofErr w:type="spellEnd"/>
            <w:r w:rsidRPr="00BE1A94">
              <w:rPr>
                <w:sz w:val="18"/>
                <w:szCs w:val="18"/>
              </w:rPr>
              <w:t>.</w:t>
            </w:r>
          </w:p>
        </w:tc>
        <w:tc>
          <w:tcPr>
            <w:tcW w:w="6321" w:type="dxa"/>
          </w:tcPr>
          <w:p w14:paraId="77E30F5D" w14:textId="77777777" w:rsidR="00A96078" w:rsidRPr="00185852" w:rsidRDefault="00A96078" w:rsidP="004B6198">
            <w:pPr>
              <w:tabs>
                <w:tab w:val="left" w:pos="630"/>
              </w:tabs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Almost 40 % withdrew during the titration phase, most commonly due to adverse effects. A significant difference in pain intensity was shown in favour of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. Majority AEs were mild to moderate and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opioid-related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 xml:space="preserve">. Withdrawals due to lack of effect was nearly 3-fold higher in the placebo than in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40 and 50 mg. Withdrawals due to AEs occurred in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25.%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 xml:space="preserve">, 558%, 52%, and 10 % for groups 1, 2, 3, and 4 respectively. Opioid naïve patients had most withdrawals in the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groups</w:t>
            </w:r>
          </w:p>
        </w:tc>
      </w:tr>
      <w:tr w:rsidR="00A96078" w:rsidRPr="00185852" w14:paraId="3A00D49F" w14:textId="77777777" w:rsidTr="004B6198">
        <w:trPr>
          <w:trHeight w:val="1128"/>
        </w:trPr>
        <w:tc>
          <w:tcPr>
            <w:tcW w:w="1440" w:type="dxa"/>
          </w:tcPr>
          <w:p w14:paraId="64851B9F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Randomized, multi centre, double-blind, parallel group placebo-controlled study </w:t>
            </w:r>
          </w:p>
        </w:tc>
        <w:tc>
          <w:tcPr>
            <w:tcW w:w="4629" w:type="dxa"/>
          </w:tcPr>
          <w:p w14:paraId="61819C4B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Adult CLBP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patients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 xml:space="preserve"> opioid-naive with moderate to severe CLBP with initial pain intensity score of ≥ 50 mm on VAS, who have taken less than 5mg/day of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oxoid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or equivalent for the last 2 weeks before screening, presented daily several hrs/day for ≥ 3 months. Sample estimation :160</w:t>
            </w:r>
          </w:p>
          <w:p w14:paraId="4455DAEA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205 patients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randomized</w:t>
            </w:r>
            <w:proofErr w:type="gramEnd"/>
          </w:p>
          <w:p w14:paraId="2CBC0B8A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118 completed the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study</w:t>
            </w:r>
            <w:proofErr w:type="gramEnd"/>
          </w:p>
          <w:p w14:paraId="45138061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53/87 discontinued were placebo</w:t>
            </w:r>
          </w:p>
        </w:tc>
        <w:tc>
          <w:tcPr>
            <w:tcW w:w="2751" w:type="dxa"/>
          </w:tcPr>
          <w:p w14:paraId="1830DB83" w14:textId="77777777" w:rsidR="00A96078" w:rsidRPr="00BE1A94" w:rsidRDefault="00A96078" w:rsidP="004B6198">
            <w:pPr>
              <w:jc w:val="both"/>
              <w:rPr>
                <w:b/>
                <w:sz w:val="18"/>
                <w:szCs w:val="18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Current pain medication terminated before screening, then 4 weeks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titration period Only responders were randomized to treatment for 12-weeks with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or placebo. </w:t>
            </w:r>
            <w:proofErr w:type="spellStart"/>
            <w:r w:rsidRPr="00BE1A94">
              <w:rPr>
                <w:sz w:val="18"/>
                <w:szCs w:val="18"/>
              </w:rPr>
              <w:t>Rescue</w:t>
            </w:r>
            <w:proofErr w:type="spellEnd"/>
            <w:r w:rsidRPr="00BE1A94">
              <w:rPr>
                <w:sz w:val="18"/>
                <w:szCs w:val="18"/>
              </w:rPr>
              <w:t xml:space="preserve"> </w:t>
            </w:r>
            <w:proofErr w:type="spellStart"/>
            <w:r w:rsidRPr="00BE1A94">
              <w:rPr>
                <w:sz w:val="18"/>
                <w:szCs w:val="18"/>
              </w:rPr>
              <w:t>medication</w:t>
            </w:r>
            <w:proofErr w:type="spellEnd"/>
            <w:r w:rsidRPr="00BE1A94">
              <w:rPr>
                <w:sz w:val="18"/>
                <w:szCs w:val="18"/>
              </w:rPr>
              <w:t xml:space="preserve"> </w:t>
            </w:r>
            <w:proofErr w:type="spellStart"/>
            <w:r w:rsidRPr="00BE1A94">
              <w:rPr>
                <w:sz w:val="18"/>
                <w:szCs w:val="18"/>
              </w:rPr>
              <w:t>permitted</w:t>
            </w:r>
            <w:proofErr w:type="spellEnd"/>
            <w:r w:rsidRPr="00BE1A94">
              <w:rPr>
                <w:sz w:val="18"/>
                <w:szCs w:val="18"/>
              </w:rPr>
              <w:t xml:space="preserve"> (</w:t>
            </w:r>
            <w:proofErr w:type="spellStart"/>
            <w:r w:rsidRPr="00BE1A94">
              <w:rPr>
                <w:sz w:val="18"/>
                <w:szCs w:val="18"/>
              </w:rPr>
              <w:t>restricted</w:t>
            </w:r>
            <w:proofErr w:type="spellEnd"/>
            <w:r w:rsidRPr="00BE1A94">
              <w:rPr>
                <w:sz w:val="18"/>
                <w:szCs w:val="18"/>
              </w:rPr>
              <w:t xml:space="preserve"> to </w:t>
            </w:r>
            <w:proofErr w:type="spellStart"/>
            <w:r w:rsidRPr="00BE1A94">
              <w:rPr>
                <w:sz w:val="18"/>
                <w:szCs w:val="18"/>
              </w:rPr>
              <w:t>twice</w:t>
            </w:r>
            <w:proofErr w:type="spellEnd"/>
            <w:r w:rsidRPr="00BE1A94">
              <w:rPr>
                <w:sz w:val="18"/>
                <w:szCs w:val="18"/>
              </w:rPr>
              <w:t xml:space="preserve"> a </w:t>
            </w:r>
            <w:proofErr w:type="spellStart"/>
            <w:r w:rsidRPr="00BE1A94">
              <w:rPr>
                <w:sz w:val="18"/>
                <w:szCs w:val="18"/>
              </w:rPr>
              <w:t>day</w:t>
            </w:r>
            <w:proofErr w:type="spellEnd"/>
            <w:r w:rsidRPr="00BE1A94">
              <w:rPr>
                <w:sz w:val="18"/>
                <w:szCs w:val="18"/>
              </w:rPr>
              <w:t>.</w:t>
            </w:r>
          </w:p>
        </w:tc>
        <w:tc>
          <w:tcPr>
            <w:tcW w:w="6321" w:type="dxa"/>
          </w:tcPr>
          <w:p w14:paraId="2561F500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proofErr w:type="gramStart"/>
            <w:r w:rsidRPr="00185852">
              <w:rPr>
                <w:sz w:val="18"/>
                <w:szCs w:val="18"/>
                <w:lang w:val="en-GB"/>
              </w:rPr>
              <w:t>.Almost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 xml:space="preserve"> 40 % withdrew during the titration phase, most commonly due to adverse effects. Pain intensity increased significantly more during treatment period with placebo compared to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. 35% of the placebo group discontinued due to lack of efficacy (3-fold that of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. AEs were more common during titration. The most frequent AEs were nausea and constipation. About 8% in each group discontinued because of AEs. Dose in the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group was 40 mg</w:t>
            </w:r>
          </w:p>
        </w:tc>
      </w:tr>
      <w:tr w:rsidR="00A96078" w:rsidRPr="00185852" w14:paraId="49B28C32" w14:textId="77777777" w:rsidTr="004B6198">
        <w:trPr>
          <w:trHeight w:val="1207"/>
        </w:trPr>
        <w:tc>
          <w:tcPr>
            <w:tcW w:w="1440" w:type="dxa"/>
          </w:tcPr>
          <w:p w14:paraId="4CE9A683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Randomized, double blind, placebo -active-controlled parallel-group study.</w:t>
            </w:r>
          </w:p>
        </w:tc>
        <w:tc>
          <w:tcPr>
            <w:tcW w:w="4629" w:type="dxa"/>
          </w:tcPr>
          <w:p w14:paraId="3AA5C5C2" w14:textId="77777777" w:rsidR="00A96078" w:rsidRPr="00185852" w:rsidRDefault="00A96078" w:rsidP="004B6198">
            <w:pPr>
              <w:tabs>
                <w:tab w:val="left" w:pos="630"/>
              </w:tabs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Adult patients with CLBP that had to be present at least 15 days/month and several hrs/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day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 xml:space="preserve"> for at least the past 2 months. Patients had to be treated with stable dose of opioids for at least 3 consecutive days before screening. Sample estimation:195</w:t>
            </w:r>
          </w:p>
          <w:p w14:paraId="04A078F9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330 patients randomized in DB titration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phase</w:t>
            </w:r>
            <w:proofErr w:type="gramEnd"/>
          </w:p>
          <w:p w14:paraId="1B4DA59A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235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received  study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 xml:space="preserve"> treatments</w:t>
            </w:r>
          </w:p>
          <w:p w14:paraId="0CD6C0D1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213 ITT analysis, 139 completed the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study</w:t>
            </w:r>
            <w:proofErr w:type="gramEnd"/>
          </w:p>
          <w:p w14:paraId="25AFCA6C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53/96 discontinued were placebos</w:t>
            </w:r>
          </w:p>
        </w:tc>
        <w:tc>
          <w:tcPr>
            <w:tcW w:w="2751" w:type="dxa"/>
          </w:tcPr>
          <w:p w14:paraId="63F5696C" w14:textId="77777777" w:rsidR="00A96078" w:rsidRPr="00BE1A94" w:rsidRDefault="00A96078" w:rsidP="004B6198">
            <w:pPr>
              <w:jc w:val="both"/>
              <w:rPr>
                <w:sz w:val="18"/>
                <w:szCs w:val="18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1-2 weeks titration period, then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) titrated (20-220mg) or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oxoid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titrated (40-440 mg), or placebo for18 days. </w:t>
            </w:r>
            <w:proofErr w:type="spellStart"/>
            <w:r w:rsidRPr="00BE1A94">
              <w:rPr>
                <w:sz w:val="18"/>
                <w:szCs w:val="18"/>
              </w:rPr>
              <w:t>Rescue</w:t>
            </w:r>
            <w:proofErr w:type="spellEnd"/>
            <w:r w:rsidRPr="00BE1A94">
              <w:rPr>
                <w:sz w:val="18"/>
                <w:szCs w:val="18"/>
              </w:rPr>
              <w:t xml:space="preserve"> </w:t>
            </w:r>
            <w:proofErr w:type="spellStart"/>
            <w:r w:rsidRPr="00BE1A94">
              <w:rPr>
                <w:sz w:val="18"/>
                <w:szCs w:val="18"/>
              </w:rPr>
              <w:t>medication</w:t>
            </w:r>
            <w:proofErr w:type="spellEnd"/>
            <w:r w:rsidRPr="00BE1A94">
              <w:rPr>
                <w:sz w:val="18"/>
                <w:szCs w:val="18"/>
              </w:rPr>
              <w:t xml:space="preserve"> </w:t>
            </w:r>
            <w:proofErr w:type="spellStart"/>
            <w:r w:rsidRPr="00BE1A94">
              <w:rPr>
                <w:sz w:val="18"/>
                <w:szCs w:val="18"/>
              </w:rPr>
              <w:t>permitted</w:t>
            </w:r>
            <w:proofErr w:type="spellEnd"/>
            <w:r w:rsidRPr="00BE1A94">
              <w:rPr>
                <w:sz w:val="18"/>
                <w:szCs w:val="18"/>
              </w:rPr>
              <w:t xml:space="preserve"> (</w:t>
            </w:r>
            <w:proofErr w:type="spellStart"/>
            <w:r w:rsidRPr="00BE1A94">
              <w:rPr>
                <w:sz w:val="18"/>
                <w:szCs w:val="18"/>
              </w:rPr>
              <w:t>restricted</w:t>
            </w:r>
            <w:proofErr w:type="spellEnd"/>
            <w:r w:rsidRPr="00BE1A94">
              <w:rPr>
                <w:sz w:val="18"/>
                <w:szCs w:val="18"/>
              </w:rPr>
              <w:t xml:space="preserve"> to </w:t>
            </w:r>
            <w:proofErr w:type="spellStart"/>
            <w:r w:rsidRPr="00BE1A94">
              <w:rPr>
                <w:sz w:val="18"/>
                <w:szCs w:val="18"/>
              </w:rPr>
              <w:t>twice</w:t>
            </w:r>
            <w:proofErr w:type="spellEnd"/>
            <w:r w:rsidRPr="00BE1A94">
              <w:rPr>
                <w:sz w:val="18"/>
                <w:szCs w:val="18"/>
              </w:rPr>
              <w:t xml:space="preserve"> a </w:t>
            </w:r>
            <w:proofErr w:type="spellStart"/>
            <w:r w:rsidRPr="00BE1A94">
              <w:rPr>
                <w:sz w:val="18"/>
                <w:szCs w:val="18"/>
              </w:rPr>
              <w:t>day</w:t>
            </w:r>
            <w:proofErr w:type="spellEnd"/>
            <w:r w:rsidRPr="00BE1A94">
              <w:rPr>
                <w:sz w:val="18"/>
                <w:szCs w:val="18"/>
              </w:rPr>
              <w:t>).</w:t>
            </w:r>
          </w:p>
        </w:tc>
        <w:tc>
          <w:tcPr>
            <w:tcW w:w="6321" w:type="dxa"/>
          </w:tcPr>
          <w:p w14:paraId="58DA4C6B" w14:textId="77777777" w:rsidR="00A96078" w:rsidRPr="00185852" w:rsidRDefault="00A96078" w:rsidP="004B6198">
            <w:pPr>
              <w:tabs>
                <w:tab w:val="left" w:pos="630"/>
              </w:tabs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Almost 30 % withdrew during the titration phase, most commonly due to adverse effects. Pain control with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oxoid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was superior to placebo. Placebo was 8-fold more likely to discontinue than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. More constipation and sedation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was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 xml:space="preserve"> reported in the opioid treated patients.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Equi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-analgesic ratio of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(80 mg) to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oxoid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(155 mg) was 1:2</w:t>
            </w:r>
          </w:p>
        </w:tc>
      </w:tr>
      <w:tr w:rsidR="00A96078" w:rsidRPr="00185852" w14:paraId="572045A1" w14:textId="77777777" w:rsidTr="004B6198">
        <w:trPr>
          <w:trHeight w:val="1207"/>
        </w:trPr>
        <w:tc>
          <w:tcPr>
            <w:tcW w:w="1440" w:type="dxa"/>
          </w:tcPr>
          <w:p w14:paraId="61B94682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proofErr w:type="gramStart"/>
            <w:r w:rsidRPr="00185852">
              <w:rPr>
                <w:sz w:val="18"/>
                <w:szCs w:val="18"/>
                <w:lang w:val="en-GB"/>
              </w:rPr>
              <w:t>.Randomized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>, double blind, placebo-controlled parallel-group study.</w:t>
            </w:r>
          </w:p>
        </w:tc>
        <w:tc>
          <w:tcPr>
            <w:tcW w:w="4629" w:type="dxa"/>
          </w:tcPr>
          <w:p w14:paraId="1BD2DC18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Adult opioid-experienced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ppatients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with moderate to severe CLBP which had been present for at least several hours each day for a minimum of 3 months and required to have been receiving stable ATC opioid pain medication equivalent to at least 60 mg/d of oral morphine for the 2 weeks before screening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. .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 xml:space="preserve"> Sample estimation :120</w:t>
            </w:r>
          </w:p>
          <w:p w14:paraId="035249A8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lastRenderedPageBreak/>
              <w:t xml:space="preserve">143 patients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randomized</w:t>
            </w:r>
            <w:proofErr w:type="gramEnd"/>
          </w:p>
          <w:p w14:paraId="06E069B5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142 ITT analysis, 67 completed the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study</w:t>
            </w:r>
            <w:proofErr w:type="gramEnd"/>
          </w:p>
          <w:p w14:paraId="6A43F6A8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55/76 discontinued were placebos</w:t>
            </w:r>
          </w:p>
        </w:tc>
        <w:tc>
          <w:tcPr>
            <w:tcW w:w="2751" w:type="dxa"/>
          </w:tcPr>
          <w:p w14:paraId="4C5A7AD1" w14:textId="77777777" w:rsidR="00A96078" w:rsidRPr="00BE1A94" w:rsidRDefault="00A96078" w:rsidP="004B6198">
            <w:pPr>
              <w:jc w:val="both"/>
              <w:rPr>
                <w:sz w:val="18"/>
                <w:szCs w:val="18"/>
              </w:rPr>
            </w:pPr>
            <w:r w:rsidRPr="00185852">
              <w:rPr>
                <w:sz w:val="18"/>
                <w:szCs w:val="18"/>
                <w:lang w:val="en-GB"/>
              </w:rPr>
              <w:lastRenderedPageBreak/>
              <w:t xml:space="preserve">Patients converted from their pre study opioids to an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equi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-analgesic dose of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(bid) then titrated and stabilized within a month, then randomized to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or placebo </w:t>
            </w:r>
            <w:r w:rsidRPr="00185852">
              <w:rPr>
                <w:sz w:val="18"/>
                <w:szCs w:val="18"/>
                <w:lang w:val="en-GB"/>
              </w:rPr>
              <w:lastRenderedPageBreak/>
              <w:t xml:space="preserve">for 12 weeks. </w:t>
            </w:r>
            <w:proofErr w:type="spellStart"/>
            <w:r w:rsidRPr="00BE1A94">
              <w:rPr>
                <w:sz w:val="18"/>
                <w:szCs w:val="18"/>
              </w:rPr>
              <w:t>Rescue</w:t>
            </w:r>
            <w:proofErr w:type="spellEnd"/>
            <w:r w:rsidRPr="00BE1A94">
              <w:rPr>
                <w:sz w:val="18"/>
                <w:szCs w:val="18"/>
              </w:rPr>
              <w:t xml:space="preserve"> </w:t>
            </w:r>
            <w:proofErr w:type="spellStart"/>
            <w:r w:rsidRPr="00BE1A9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permitted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restricted</w:t>
            </w:r>
            <w:r w:rsidRPr="00BE1A94">
              <w:rPr>
                <w:sz w:val="18"/>
                <w:szCs w:val="18"/>
              </w:rPr>
              <w:t>to</w:t>
            </w:r>
            <w:proofErr w:type="spellEnd"/>
            <w:r w:rsidRPr="00BE1A94">
              <w:rPr>
                <w:sz w:val="18"/>
                <w:szCs w:val="18"/>
              </w:rPr>
              <w:t xml:space="preserve"> </w:t>
            </w:r>
            <w:proofErr w:type="spellStart"/>
            <w:r w:rsidRPr="00BE1A94">
              <w:rPr>
                <w:sz w:val="18"/>
                <w:szCs w:val="18"/>
              </w:rPr>
              <w:t>twice</w:t>
            </w:r>
            <w:proofErr w:type="spellEnd"/>
            <w:r w:rsidRPr="00BE1A94">
              <w:rPr>
                <w:sz w:val="18"/>
                <w:szCs w:val="18"/>
              </w:rPr>
              <w:t xml:space="preserve"> a </w:t>
            </w:r>
            <w:proofErr w:type="spellStart"/>
            <w:r w:rsidRPr="00BE1A94">
              <w:rPr>
                <w:sz w:val="18"/>
                <w:szCs w:val="18"/>
              </w:rPr>
              <w:t>day</w:t>
            </w:r>
            <w:proofErr w:type="spellEnd"/>
            <w:r w:rsidRPr="00BE1A94">
              <w:rPr>
                <w:sz w:val="18"/>
                <w:szCs w:val="18"/>
              </w:rPr>
              <w:t>.</w:t>
            </w:r>
          </w:p>
          <w:p w14:paraId="46266EC7" w14:textId="77777777" w:rsidR="00A96078" w:rsidRPr="00BE1A94" w:rsidRDefault="00A96078" w:rsidP="004B61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1" w:type="dxa"/>
          </w:tcPr>
          <w:p w14:paraId="4B74B3BD" w14:textId="77777777" w:rsidR="00A96078" w:rsidRPr="00185852" w:rsidRDefault="00A96078" w:rsidP="004B6198">
            <w:pPr>
              <w:tabs>
                <w:tab w:val="left" w:pos="630"/>
              </w:tabs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lastRenderedPageBreak/>
              <w:t xml:space="preserve">About 40 % withdrew during the titration phase, most commonly due to adverse effects. Patients in the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group maintained effective analgesia throughout the study period, while pain increased significantly in the placebo group. Placebo patients were approximately 8-fold more likely than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ER patients to discontinue because of lack of efficacy. Discontinuation as result of adverse events was similar </w:t>
            </w:r>
            <w:r w:rsidRPr="00185852">
              <w:rPr>
                <w:sz w:val="18"/>
                <w:szCs w:val="18"/>
                <w:lang w:val="en-GB"/>
              </w:rPr>
              <w:lastRenderedPageBreak/>
              <w:t xml:space="preserve">between groups.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dose at and of titration were 87.2 mg; and 81.7 or 77.8 mg for those who did or did not complete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12 week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 xml:space="preserve"> period, respectively.</w:t>
            </w:r>
          </w:p>
        </w:tc>
      </w:tr>
      <w:tr w:rsidR="00A96078" w:rsidRPr="00185852" w14:paraId="54106326" w14:textId="77777777" w:rsidTr="004B6198">
        <w:trPr>
          <w:trHeight w:val="1031"/>
        </w:trPr>
        <w:tc>
          <w:tcPr>
            <w:tcW w:w="1440" w:type="dxa"/>
          </w:tcPr>
          <w:p w14:paraId="0C1C27E1" w14:textId="77777777" w:rsidR="00A96078" w:rsidRPr="00BE1A94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BE1A94">
              <w:rPr>
                <w:sz w:val="18"/>
                <w:szCs w:val="18"/>
                <w:lang w:val="en-GB"/>
              </w:rPr>
              <w:lastRenderedPageBreak/>
              <w:t>Randomized, double blind, crossover study.</w:t>
            </w:r>
          </w:p>
        </w:tc>
        <w:tc>
          <w:tcPr>
            <w:tcW w:w="4629" w:type="dxa"/>
          </w:tcPr>
          <w:p w14:paraId="2F3295EA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Adult patients with moderate to severe chronic cancer pain that required long-term outpatient treatment with opioid analgesics. Patients with radiotherapy the two last weeks were excluded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. .</w:t>
            </w:r>
            <w:proofErr w:type="gramEnd"/>
            <w:r w:rsidRPr="00185852">
              <w:rPr>
                <w:sz w:val="18"/>
                <w:szCs w:val="18"/>
                <w:lang w:val="en-GB"/>
              </w:rPr>
              <w:t xml:space="preserve"> NO Sample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estimation :</w:t>
            </w:r>
            <w:proofErr w:type="gramEnd"/>
          </w:p>
          <w:p w14:paraId="42AE0E2B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45 patients </w:t>
            </w:r>
            <w:proofErr w:type="gramStart"/>
            <w:r w:rsidRPr="00185852">
              <w:rPr>
                <w:sz w:val="18"/>
                <w:szCs w:val="18"/>
                <w:lang w:val="en-GB"/>
              </w:rPr>
              <w:t>randomized</w:t>
            </w:r>
            <w:proofErr w:type="gramEnd"/>
          </w:p>
          <w:p w14:paraId="2A62717F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42 included in ITT analysis -40 completed the study-</w:t>
            </w:r>
          </w:p>
          <w:p w14:paraId="1DA8E1DE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>3 patients discontinued in period 1, 2 in period 2</w:t>
            </w:r>
          </w:p>
        </w:tc>
        <w:tc>
          <w:tcPr>
            <w:tcW w:w="2751" w:type="dxa"/>
          </w:tcPr>
          <w:p w14:paraId="72EDB51F" w14:textId="77777777" w:rsidR="00A96078" w:rsidRPr="00185852" w:rsidRDefault="00A96078" w:rsidP="004B6198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Open-label titration /stabilization phase of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IR or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oxoid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3-10 d (both bid). Then randomized to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(10-40 mg) or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oxoid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CR (20-80 mg) 10 d, and then crossed over to the alternative treatment for 7-10 d. Rescue medication permitted.</w:t>
            </w:r>
          </w:p>
        </w:tc>
        <w:tc>
          <w:tcPr>
            <w:tcW w:w="6321" w:type="dxa"/>
          </w:tcPr>
          <w:p w14:paraId="244A5E4D" w14:textId="77777777" w:rsidR="00A96078" w:rsidRPr="00185852" w:rsidRDefault="00A96078" w:rsidP="004B6198">
            <w:pPr>
              <w:jc w:val="both"/>
              <w:rPr>
                <w:sz w:val="18"/>
                <w:szCs w:val="18"/>
                <w:lang w:val="en-GB"/>
              </w:rPr>
            </w:pPr>
            <w:r w:rsidRPr="00185852">
              <w:rPr>
                <w:sz w:val="18"/>
                <w:szCs w:val="18"/>
                <w:lang w:val="en-GB"/>
              </w:rPr>
              <w:t xml:space="preserve">The mean average daily pain intensity ratings of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oxoid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were clinically indistinguishable. Low use of rescue medication in both groups. Most AEs were mild to moderate and related to opioids.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Equi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-analgesic dose ratio of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morfoid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(45.9 mg) to </w:t>
            </w:r>
            <w:proofErr w:type="spellStart"/>
            <w:r w:rsidRPr="00185852">
              <w:rPr>
                <w:sz w:val="18"/>
                <w:szCs w:val="18"/>
                <w:lang w:val="en-GB"/>
              </w:rPr>
              <w:t>oxoid</w:t>
            </w:r>
            <w:proofErr w:type="spellEnd"/>
            <w:r w:rsidRPr="00185852">
              <w:rPr>
                <w:sz w:val="18"/>
                <w:szCs w:val="18"/>
                <w:lang w:val="en-GB"/>
              </w:rPr>
              <w:t xml:space="preserve"> (91.9 mg) was 1:2.</w:t>
            </w:r>
          </w:p>
        </w:tc>
      </w:tr>
    </w:tbl>
    <w:p w14:paraId="13B884F8" w14:textId="77777777" w:rsidR="00A96078" w:rsidRPr="00185852" w:rsidRDefault="00A96078" w:rsidP="00A96078">
      <w:pPr>
        <w:rPr>
          <w:sz w:val="14"/>
          <w:szCs w:val="14"/>
          <w:lang w:val="en-GB"/>
        </w:rPr>
      </w:pPr>
      <w:r w:rsidRPr="00185852">
        <w:rPr>
          <w:sz w:val="14"/>
          <w:szCs w:val="14"/>
          <w:lang w:val="en-GB"/>
        </w:rPr>
        <w:t xml:space="preserve">VAS: Visual </w:t>
      </w:r>
      <w:proofErr w:type="spellStart"/>
      <w:r w:rsidRPr="00185852">
        <w:rPr>
          <w:sz w:val="14"/>
          <w:szCs w:val="14"/>
          <w:lang w:val="en-GB"/>
        </w:rPr>
        <w:t>analog</w:t>
      </w:r>
      <w:proofErr w:type="spellEnd"/>
      <w:r w:rsidRPr="00185852">
        <w:rPr>
          <w:sz w:val="14"/>
          <w:szCs w:val="14"/>
          <w:lang w:val="en-GB"/>
        </w:rPr>
        <w:t xml:space="preserve"> sale, ATC: around the clock therapy, CLBP: chronic low back pain, OA: osteoarthritis, DB: double </w:t>
      </w:r>
      <w:proofErr w:type="gramStart"/>
      <w:r w:rsidRPr="00185852">
        <w:rPr>
          <w:sz w:val="14"/>
          <w:szCs w:val="14"/>
          <w:lang w:val="en-GB"/>
        </w:rPr>
        <w:t>blind .</w:t>
      </w:r>
      <w:proofErr w:type="gramEnd"/>
      <w:r w:rsidRPr="00185852">
        <w:rPr>
          <w:sz w:val="14"/>
          <w:szCs w:val="14"/>
          <w:lang w:val="en-GB"/>
        </w:rPr>
        <w:t xml:space="preserve"> 24 h doses are reported, administered bid. The # of patients discontinued is during double blind </w:t>
      </w:r>
      <w:proofErr w:type="spellStart"/>
      <w:proofErr w:type="gramStart"/>
      <w:r w:rsidRPr="00185852">
        <w:rPr>
          <w:sz w:val="14"/>
          <w:szCs w:val="14"/>
          <w:lang w:val="en-GB"/>
        </w:rPr>
        <w:t>treatment.Sample</w:t>
      </w:r>
      <w:proofErr w:type="spellEnd"/>
      <w:proofErr w:type="gramEnd"/>
      <w:r w:rsidRPr="00185852">
        <w:rPr>
          <w:sz w:val="14"/>
          <w:szCs w:val="14"/>
          <w:lang w:val="en-GB"/>
        </w:rPr>
        <w:t xml:space="preserve"> estimation refers to total number</w:t>
      </w:r>
    </w:p>
    <w:p w14:paraId="25BA06BA" w14:textId="77777777" w:rsidR="008C2ADD" w:rsidRPr="00A96078" w:rsidRDefault="008C2ADD">
      <w:pPr>
        <w:rPr>
          <w:lang w:val="en-GB"/>
        </w:rPr>
      </w:pPr>
    </w:p>
    <w:sectPr w:rsidR="008C2ADD" w:rsidRPr="00A96078" w:rsidSect="00A96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78"/>
    <w:rsid w:val="0026393B"/>
    <w:rsid w:val="008C2ADD"/>
    <w:rsid w:val="00A96078"/>
    <w:rsid w:val="00F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7387"/>
  <w15:chartTrackingRefBased/>
  <w15:docId w15:val="{8E2C73F2-4F42-47F4-A577-C06106D9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Torp</dc:creator>
  <cp:keywords/>
  <dc:description/>
  <cp:lastModifiedBy>Ingrid Torp</cp:lastModifiedBy>
  <cp:revision>1</cp:revision>
  <dcterms:created xsi:type="dcterms:W3CDTF">2023-01-30T12:28:00Z</dcterms:created>
  <dcterms:modified xsi:type="dcterms:W3CDTF">2023-01-30T12:28:00Z</dcterms:modified>
</cp:coreProperties>
</file>